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75442B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5C0E3A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5442B" w:rsidRPr="005C0E3A" w:rsidRDefault="0075442B" w:rsidP="0075442B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5C0E3A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5442B" w:rsidRPr="005C0E3A" w:rsidRDefault="0075442B" w:rsidP="00C7098D">
      <w:pPr>
        <w:jc w:val="center"/>
        <w:rPr>
          <w:b/>
          <w:bCs/>
          <w:sz w:val="24"/>
          <w:szCs w:val="24"/>
          <w:lang w:eastAsia="zh-CN"/>
        </w:rPr>
      </w:pPr>
      <w:r w:rsidRPr="005C0E3A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5442B" w:rsidRDefault="0075442B" w:rsidP="0075442B">
      <w:pPr>
        <w:rPr>
          <w:b/>
          <w:bCs/>
          <w:sz w:val="24"/>
          <w:szCs w:val="24"/>
          <w:lang w:eastAsia="zh-CN"/>
        </w:rPr>
      </w:pPr>
    </w:p>
    <w:p w:rsidR="0014229C" w:rsidRPr="005C0E3A" w:rsidRDefault="0014229C" w:rsidP="0075442B">
      <w:pPr>
        <w:rPr>
          <w:b/>
          <w:bCs/>
          <w:sz w:val="24"/>
          <w:szCs w:val="24"/>
          <w:lang w:eastAsia="zh-CN"/>
        </w:rPr>
      </w:pPr>
    </w:p>
    <w:p w:rsidR="00C7098D" w:rsidRPr="005C0E3A" w:rsidRDefault="00C7098D" w:rsidP="0075442B">
      <w:pPr>
        <w:rPr>
          <w:b/>
          <w:bCs/>
          <w:sz w:val="24"/>
          <w:szCs w:val="24"/>
          <w:lang w:eastAsia="zh-C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A5BBF" w:rsidTr="000A5BBF">
        <w:tc>
          <w:tcPr>
            <w:tcW w:w="4253" w:type="dxa"/>
          </w:tcPr>
          <w:p w:rsidR="000A5BBF" w:rsidRDefault="000A5BB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0A5BBF" w:rsidRDefault="000A5BB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0A5BBF" w:rsidRDefault="000A5BB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0A5BBF" w:rsidRDefault="000A5BB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0A5BBF" w:rsidRDefault="000A5BB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right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5C0E3A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5C0E3A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75442B">
      <w:pPr>
        <w:ind w:firstLine="567"/>
        <w:jc w:val="center"/>
        <w:rPr>
          <w:b/>
          <w:sz w:val="28"/>
          <w:szCs w:val="28"/>
          <w:lang w:eastAsia="zh-CN"/>
        </w:rPr>
      </w:pPr>
      <w:r w:rsidRPr="005C0E3A">
        <w:rPr>
          <w:b/>
          <w:sz w:val="28"/>
          <w:szCs w:val="28"/>
        </w:rPr>
        <w:t>ДЕЛОПРОИЗВОДСТВО В ТЕАТРАЛЬНОЙ СФЕРЕ</w:t>
      </w:r>
    </w:p>
    <w:p w:rsidR="0075442B" w:rsidRPr="005C0E3A" w:rsidRDefault="0075442B" w:rsidP="0075442B">
      <w:pPr>
        <w:ind w:firstLine="567"/>
        <w:rPr>
          <w:b/>
          <w:sz w:val="28"/>
          <w:szCs w:val="28"/>
        </w:rPr>
      </w:pP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/>
          <w:bCs/>
          <w:sz w:val="24"/>
          <w:szCs w:val="24"/>
        </w:rPr>
      </w:pPr>
      <w:r w:rsidRPr="0014229C">
        <w:rPr>
          <w:b/>
          <w:bCs/>
          <w:sz w:val="24"/>
          <w:szCs w:val="24"/>
        </w:rPr>
        <w:t xml:space="preserve">Направление подготовки </w:t>
      </w:r>
      <w:r w:rsidRPr="0014229C">
        <w:rPr>
          <w:rFonts w:eastAsia="Calibri"/>
          <w:bCs/>
          <w:sz w:val="24"/>
          <w:szCs w:val="24"/>
          <w:lang w:eastAsia="en-US"/>
        </w:rPr>
        <w:t>51.03.02 Народная художественная культура</w:t>
      </w: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ind w:firstLine="567"/>
        <w:rPr>
          <w:b/>
          <w:bCs/>
          <w:sz w:val="24"/>
          <w:szCs w:val="24"/>
        </w:rPr>
      </w:pP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/>
          <w:bCs/>
          <w:sz w:val="24"/>
          <w:szCs w:val="24"/>
        </w:rPr>
      </w:pPr>
      <w:r w:rsidRPr="0014229C">
        <w:rPr>
          <w:b/>
          <w:bCs/>
          <w:sz w:val="24"/>
          <w:szCs w:val="24"/>
        </w:rPr>
        <w:t xml:space="preserve">Профиль подготовки </w:t>
      </w:r>
      <w:r w:rsidRPr="0014229C">
        <w:rPr>
          <w:rFonts w:eastAsia="Calibri"/>
          <w:sz w:val="24"/>
          <w:szCs w:val="24"/>
          <w:lang w:eastAsia="en-US"/>
        </w:rPr>
        <w:t>Режиссура любительского театра</w:t>
      </w: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ind w:firstLine="567"/>
        <w:rPr>
          <w:b/>
          <w:bCs/>
          <w:sz w:val="24"/>
          <w:szCs w:val="24"/>
        </w:rPr>
      </w:pP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Cs/>
          <w:sz w:val="24"/>
          <w:szCs w:val="24"/>
        </w:rPr>
      </w:pPr>
      <w:r w:rsidRPr="0014229C">
        <w:rPr>
          <w:b/>
          <w:bCs/>
          <w:sz w:val="24"/>
          <w:szCs w:val="24"/>
        </w:rPr>
        <w:t xml:space="preserve">Квалификация выпускника </w:t>
      </w:r>
      <w:r w:rsidRPr="0014229C">
        <w:rPr>
          <w:bCs/>
          <w:sz w:val="24"/>
          <w:szCs w:val="24"/>
        </w:rPr>
        <w:t>бакалавр</w:t>
      </w: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Cs/>
          <w:sz w:val="24"/>
          <w:szCs w:val="24"/>
        </w:rPr>
      </w:pP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Cs/>
          <w:sz w:val="24"/>
          <w:szCs w:val="24"/>
        </w:rPr>
      </w:pPr>
      <w:r w:rsidRPr="0014229C">
        <w:rPr>
          <w:b/>
          <w:bCs/>
          <w:sz w:val="24"/>
          <w:szCs w:val="24"/>
        </w:rPr>
        <w:t xml:space="preserve">Форма обучения </w:t>
      </w:r>
      <w:r w:rsidRPr="0014229C">
        <w:rPr>
          <w:bCs/>
          <w:sz w:val="24"/>
          <w:szCs w:val="24"/>
        </w:rPr>
        <w:t>заочная</w:t>
      </w: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14229C" w:rsidRPr="0014229C" w:rsidRDefault="0014229C" w:rsidP="0014229C">
      <w:pPr>
        <w:widowControl/>
        <w:autoSpaceDE/>
        <w:autoSpaceDN/>
        <w:adjustRightInd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030DD6" w:rsidRPr="005C0E3A" w:rsidRDefault="00030DD6" w:rsidP="0075442B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5C0E3A">
        <w:rPr>
          <w:b/>
          <w:sz w:val="28"/>
          <w:szCs w:val="28"/>
        </w:rPr>
        <w:lastRenderedPageBreak/>
        <w:t>1.ПЕРЕЧЕНЬ КОМПЕТЕНЦИЙ, ФОРМИРУЕМЫХ ПРИ ОСВОЕНИИ ДИСЦИПЛИНЫ</w:t>
      </w:r>
    </w:p>
    <w:p w:rsidR="00030DD6" w:rsidRPr="005C0E3A" w:rsidRDefault="00030DD6" w:rsidP="00030DD6">
      <w:pPr>
        <w:tabs>
          <w:tab w:val="left" w:pos="284"/>
          <w:tab w:val="left" w:pos="330"/>
          <w:tab w:val="left" w:pos="851"/>
        </w:tabs>
        <w:spacing w:line="276" w:lineRule="auto"/>
        <w:jc w:val="both"/>
        <w:rPr>
          <w:sz w:val="24"/>
          <w:szCs w:val="24"/>
        </w:rPr>
      </w:pPr>
    </w:p>
    <w:p w:rsidR="0075442B" w:rsidRPr="005C0E3A" w:rsidRDefault="0075442B" w:rsidP="0075442B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 xml:space="preserve">Целями освоения дисциплины являются: подготовка бакалавров высшей квалификации в области организации документационного обеспечения управленческой деятельности театра. </w:t>
      </w:r>
    </w:p>
    <w:p w:rsidR="0075442B" w:rsidRPr="005C0E3A" w:rsidRDefault="0075442B" w:rsidP="0075442B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Задачи курса: овладение умениями и навыками в области разработки, оформления и проектирования управленческой документации, современной регламентации делопроизводства, организации делопроизводственной службы, технологии регистрации, учета и хранения документов; получение знаний по формированию делопроизводства в театральной сфере.</w:t>
      </w:r>
    </w:p>
    <w:p w:rsidR="0075442B" w:rsidRPr="005C0E3A" w:rsidRDefault="0075442B" w:rsidP="0075442B">
      <w:pPr>
        <w:tabs>
          <w:tab w:val="left" w:pos="284"/>
          <w:tab w:val="left" w:pos="330"/>
          <w:tab w:val="left" w:pos="851"/>
        </w:tabs>
        <w:ind w:firstLine="567"/>
        <w:jc w:val="both"/>
        <w:rPr>
          <w:sz w:val="24"/>
          <w:szCs w:val="24"/>
        </w:rPr>
      </w:pPr>
    </w:p>
    <w:p w:rsidR="006D7E8A" w:rsidRPr="005C0E3A" w:rsidRDefault="00030DD6" w:rsidP="0075442B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5C0E3A">
        <w:rPr>
          <w:b/>
          <w:bCs/>
          <w:sz w:val="24"/>
          <w:szCs w:val="24"/>
          <w:lang w:eastAsia="zh-CN"/>
        </w:rPr>
        <w:t>2</w:t>
      </w:r>
      <w:r w:rsidRPr="005C0E3A">
        <w:rPr>
          <w:b/>
          <w:bCs/>
          <w:sz w:val="24"/>
          <w:szCs w:val="24"/>
          <w:lang w:eastAsia="zh-CN"/>
        </w:rPr>
        <w:tab/>
        <w:t>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4229C" w:rsidRPr="0014229C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14229C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14229C">
              <w:rPr>
                <w:rFonts w:eastAsia="Calibri"/>
                <w:b/>
              </w:rPr>
              <w:t>Индикаторы</w:t>
            </w:r>
          </w:p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14229C">
              <w:rPr>
                <w:rFonts w:eastAsia="Calibri"/>
                <w:b/>
              </w:rPr>
              <w:t>компетенций</w:t>
            </w:r>
          </w:p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</w:p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</w:p>
        </w:tc>
        <w:tc>
          <w:tcPr>
            <w:tcW w:w="4616" w:type="dxa"/>
            <w:shd w:val="clear" w:color="auto" w:fill="auto"/>
          </w:tcPr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14229C">
              <w:rPr>
                <w:rFonts w:eastAsia="Calibri"/>
                <w:b/>
              </w:rPr>
              <w:t>Результаты обучения</w:t>
            </w:r>
          </w:p>
        </w:tc>
      </w:tr>
      <w:tr w:rsidR="0014229C" w:rsidRPr="0014229C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4229C" w:rsidRPr="0014229C" w:rsidRDefault="0014229C" w:rsidP="0014229C">
            <w:pPr>
              <w:widowControl/>
              <w:tabs>
                <w:tab w:val="left" w:pos="284"/>
                <w:tab w:val="left" w:pos="851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УК2.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14229C" w:rsidRPr="0014229C" w:rsidRDefault="0014229C" w:rsidP="0014229C">
            <w:pPr>
              <w:widowControl/>
              <w:tabs>
                <w:tab w:val="left" w:pos="142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501" w:type="dxa"/>
          </w:tcPr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>УК-2.1 Умеет самостоятельно ориентироваться в законодательстве РФ</w:t>
            </w: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>УК-2.3 Владеет практикой применения авторского права в РФ в сфере публичных выступлений</w:t>
            </w: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4616" w:type="dxa"/>
            <w:shd w:val="clear" w:color="auto" w:fill="auto"/>
          </w:tcPr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Знать: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методы управления проектом;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основы планирования;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основы психологии;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Уметь: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разрабатывать концепцию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проекта: формулировать цели, задачи,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актуальность, значимость, ожидаемые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результаты и сферу их применения;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представлять возможные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результаты деятельности и планировать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алгоритм их достижения;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составлять план-график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реализации проекта в целом и план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контроля его выполнения;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организовывать и координировать работу участников проекта;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конструктивно разрешать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возникающие разногласия и конфликты, обеспечивать работу участников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проекта необходимыми ресурсами;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Владеть: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навыком публичного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представления результатов творческого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проекта (или отдельных его этапов);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навыком управления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творческим проектом на всех этапах его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highlight w:val="yellow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жизненного цикла</w:t>
            </w:r>
          </w:p>
        </w:tc>
      </w:tr>
      <w:tr w:rsidR="0014229C" w:rsidRPr="0014229C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учреждений и организаций,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 xml:space="preserve">занимающихся развитием народной художественной культуры и </w:t>
            </w:r>
            <w:r w:rsidRPr="0014229C">
              <w:rPr>
                <w:rFonts w:eastAsia="Calibri"/>
                <w:lang w:eastAsia="en-US"/>
              </w:rPr>
              <w:lastRenderedPageBreak/>
              <w:t>народного художественного творчества.</w:t>
            </w:r>
          </w:p>
        </w:tc>
        <w:tc>
          <w:tcPr>
            <w:tcW w:w="2501" w:type="dxa"/>
          </w:tcPr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lastRenderedPageBreak/>
              <w:t>ПК10.1 Способен разработать бизнес-план развития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этнокультурного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центра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ПК10.2 Способен осуществлять текущее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планирование и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административно-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 xml:space="preserve">организационную деятельность по отдельным </w:t>
            </w:r>
            <w:r w:rsidRPr="0014229C">
              <w:rPr>
                <w:rFonts w:eastAsia="Calibri"/>
                <w:lang w:eastAsia="en-US"/>
              </w:rPr>
              <w:lastRenderedPageBreak/>
              <w:t>видам работ в этнокультурном центре.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lastRenderedPageBreak/>
              <w:t>Знать:</w:t>
            </w:r>
            <w:r w:rsidRPr="0014229C">
              <w:rPr>
                <w:rFonts w:eastAsia="Calibri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Уметь:</w:t>
            </w:r>
            <w:r w:rsidRPr="0014229C">
              <w:rPr>
                <w:rFonts w:eastAsia="Calibri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</w:t>
            </w:r>
            <w:r w:rsidRPr="0014229C">
              <w:rPr>
                <w:rFonts w:eastAsia="Calibri"/>
                <w:lang w:eastAsia="en-US"/>
              </w:rPr>
              <w:lastRenderedPageBreak/>
              <w:t xml:space="preserve">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b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 xml:space="preserve">Владеть: </w:t>
            </w:r>
            <w:r w:rsidRPr="0014229C">
              <w:rPr>
                <w:rFonts w:eastAsia="Calibri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030DD6" w:rsidRPr="005C0E3A" w:rsidRDefault="00030DD6" w:rsidP="0075442B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</w:p>
    <w:p w:rsidR="006D7E8A" w:rsidRPr="005C0E3A" w:rsidRDefault="006D7E8A" w:rsidP="0075442B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</w:p>
    <w:p w:rsidR="00030DD6" w:rsidRPr="005C0E3A" w:rsidRDefault="00030DD6" w:rsidP="0075442B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</w:p>
    <w:p w:rsidR="00030DD6" w:rsidRPr="005C0E3A" w:rsidRDefault="00030DD6" w:rsidP="00030DD6">
      <w:pPr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b/>
          <w:sz w:val="24"/>
          <w:szCs w:val="24"/>
        </w:rPr>
        <w:t>Входной контроль</w:t>
      </w:r>
      <w:r w:rsidRPr="005C0E3A">
        <w:rPr>
          <w:sz w:val="24"/>
          <w:szCs w:val="24"/>
        </w:rPr>
        <w:t xml:space="preserve"> представляет собой перечень из 10-15 вопросов и заданий. Входной контроль проводится в письменном виде на первом практическом занятии в течение 15 минут. Проверяется уровень входных знаний.</w:t>
      </w:r>
    </w:p>
    <w:p w:rsidR="00030DD6" w:rsidRPr="005C0E3A" w:rsidRDefault="00030DD6" w:rsidP="00030DD6">
      <w:pPr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5C0E3A">
        <w:rPr>
          <w:sz w:val="24"/>
          <w:szCs w:val="24"/>
          <w:u w:val="single"/>
        </w:rPr>
        <w:t>Примерные вопросы для входного контроля: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Какие вы знаете документы в театре?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Что такое «информация»?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Какова связь информации и документа?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вы думаете, какое значение имеют документы?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оформляют даты в документах?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можно сокращать слова в документах?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Для чего нужны стандарты?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правильно писать заявление?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Кем подписываются документы?</w:t>
      </w:r>
    </w:p>
    <w:p w:rsidR="00030DD6" w:rsidRPr="005C0E3A" w:rsidRDefault="00030DD6" w:rsidP="00030DD6">
      <w:pPr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Зачем нужно стремиться к образцам, шаблонам и единообразию документов в театре?</w:t>
      </w:r>
    </w:p>
    <w:p w:rsidR="00030DD6" w:rsidRPr="005C0E3A" w:rsidRDefault="00030DD6" w:rsidP="00030DD6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030DD6" w:rsidRPr="005C0E3A" w:rsidRDefault="00030DD6" w:rsidP="00030DD6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5C0E3A">
        <w:rPr>
          <w:sz w:val="24"/>
          <w:szCs w:val="24"/>
        </w:rPr>
        <w:t xml:space="preserve">Критерии оценки: </w:t>
      </w:r>
      <w:r w:rsidR="005C0E3A" w:rsidRPr="005C0E3A">
        <w:rPr>
          <w:sz w:val="24"/>
          <w:szCs w:val="24"/>
        </w:rPr>
        <w:t>зачет/незачет</w:t>
      </w:r>
    </w:p>
    <w:p w:rsidR="00030DD6" w:rsidRPr="005C0E3A" w:rsidRDefault="00030DD6" w:rsidP="00030DD6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Для прохождения входного контроля необходимо ответить на тестовые вопросы. Оценка не выставляется, но преподаватель обязательно учитывает прилежание обучающегося при определении результатов промежуточной аттестации.</w:t>
      </w:r>
    </w:p>
    <w:p w:rsidR="00030DD6" w:rsidRPr="005C0E3A" w:rsidRDefault="00030DD6" w:rsidP="00030DD6">
      <w:pPr>
        <w:tabs>
          <w:tab w:val="left" w:pos="993"/>
        </w:tabs>
        <w:spacing w:line="276" w:lineRule="auto"/>
        <w:jc w:val="both"/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>ПРОМЕЖУТОЧНАЯ АТТЕСТАЦИЯ- ЗАЧЕТ</w:t>
      </w:r>
    </w:p>
    <w:p w:rsidR="00030DD6" w:rsidRPr="005C0E3A" w:rsidRDefault="00030DD6" w:rsidP="00030DD6">
      <w:pPr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>Примерный перечень вопросов к зачету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объяснительных и докладных записок.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справок.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акта.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протокола.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телеграмм.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делового письма.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оформляется совместное письмо двух организаций?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В чем особенность языка и стиля служебных документов?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Перечислите разновидности писем.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Виды писем по содержанию и назначению.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«Сценарий» подготовки совещания.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Какие документы создаются в процессе подготовки совещания?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Кто может работать с документами, содержащими коммерческую тайну?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Дайте определение понятия «документооборот».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Перечислите этапы движения и порядок обработки документов.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lastRenderedPageBreak/>
        <w:t>Какой нормативный документ определяет порядок работы с документами в организации?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bCs/>
          <w:sz w:val="24"/>
          <w:szCs w:val="24"/>
        </w:rPr>
        <w:t>Перечислите основные функции и задачи подразделений службы делопроизводства.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bCs/>
          <w:sz w:val="24"/>
          <w:szCs w:val="24"/>
        </w:rPr>
        <w:t>Какова роль секретаря в структуре управления делопроизводством?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Какова структура службы документационного обеспечения управления?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регистрируются протоколы собраний и заседания коллектива?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исчисляется срок исполнения документов?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Что такое номенклатура дел?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Кем утверждается свободная номенклатура дел организации?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Где помещаются приказы о приеме, увольнении работника?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систематизируются документы в номенклатуре дел?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происходит хранение и передача дел в архив?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С каким документами при приеме на работу Вас должны ознакомить?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iCs/>
          <w:sz w:val="24"/>
          <w:szCs w:val="24"/>
        </w:rPr>
        <w:t>Перечислите документы по личному составу и правила их оформления.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Кем устанавливаются индивидуальные сроки исполнения документов?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Каковы формы регистрации документов в России?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При регистрации какого документа дату регистрации указывают в день его подписания?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Как определить срок хранения документа?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Что такое электронный документ?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Что такое электронный документооборот и какова его роль в делопроизводстве?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Какие существуют системы автоматизации делопроизводства и документооборота?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 xml:space="preserve"> Какие справочные программы делопроизводства вы знаете?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Перечислите положительные стороны внедрения корпоративного документооборота.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Как происходит обеспечение сохранности и доступности электронных документов?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Какими путями документы могут поступать в автоматизированную систему делопроизводства?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Для чего нужна антивирусная защита?</w:t>
      </w:r>
    </w:p>
    <w:p w:rsidR="00030DD6" w:rsidRPr="005C0E3A" w:rsidRDefault="00030DD6" w:rsidP="00030DD6">
      <w:pPr>
        <w:shd w:val="clear" w:color="auto" w:fill="FFFFFF"/>
        <w:spacing w:before="7" w:line="317" w:lineRule="exact"/>
        <w:ind w:left="65" w:right="266" w:firstLine="562"/>
        <w:jc w:val="both"/>
      </w:pPr>
    </w:p>
    <w:p w:rsidR="00030DD6" w:rsidRPr="005C0E3A" w:rsidRDefault="005C0E3A" w:rsidP="005C0E3A">
      <w:pPr>
        <w:numPr>
          <w:ilvl w:val="0"/>
          <w:numId w:val="13"/>
        </w:numPr>
        <w:autoSpaceDE/>
        <w:autoSpaceDN/>
        <w:adjustRightInd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030DD6" w:rsidRPr="005C0E3A">
        <w:rPr>
          <w:b/>
          <w:sz w:val="32"/>
          <w:szCs w:val="32"/>
        </w:rPr>
        <w:t>ценка знаний студента</w:t>
      </w:r>
    </w:p>
    <w:p w:rsidR="00030DD6" w:rsidRPr="005C0E3A" w:rsidRDefault="00030DD6" w:rsidP="00030DD6">
      <w:pPr>
        <w:shd w:val="clear" w:color="auto" w:fill="FFFFFF"/>
        <w:spacing w:before="7" w:line="317" w:lineRule="exact"/>
        <w:ind w:right="266"/>
        <w:jc w:val="both"/>
      </w:pPr>
    </w:p>
    <w:p w:rsidR="00030DD6" w:rsidRDefault="00030DD6" w:rsidP="00030DD6">
      <w:pPr>
        <w:shd w:val="clear" w:color="auto" w:fill="FFFFFF"/>
        <w:spacing w:before="7" w:line="317" w:lineRule="exact"/>
        <w:ind w:left="65" w:right="266" w:firstLine="562"/>
        <w:jc w:val="both"/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>Критерии оценивания и оценочная шкала</w:t>
      </w:r>
    </w:p>
    <w:p w:rsidR="005C0E3A" w:rsidRPr="005C0E3A" w:rsidRDefault="005C0E3A" w:rsidP="00030DD6">
      <w:pPr>
        <w:shd w:val="clear" w:color="auto" w:fill="FFFFFF"/>
        <w:spacing w:before="7" w:line="317" w:lineRule="exact"/>
        <w:ind w:left="65" w:right="266" w:firstLine="562"/>
        <w:jc w:val="both"/>
        <w:rPr>
          <w:b/>
          <w:sz w:val="24"/>
          <w:szCs w:val="24"/>
        </w:rPr>
      </w:pP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Знает: основные возможности предоставляемые современными информационно коммуникационными технологиями (ИК</w:t>
      </w:r>
      <w:r w:rsidRPr="005C0E3A">
        <w:t xml:space="preserve"> </w:t>
      </w:r>
      <w:r w:rsidRPr="005C0E3A">
        <w:rPr>
          <w:sz w:val="24"/>
          <w:szCs w:val="24"/>
        </w:rPr>
        <w:t>технологиями</w:t>
      </w:r>
      <w:proofErr w:type="gramStart"/>
      <w:r w:rsidRPr="005C0E3A">
        <w:rPr>
          <w:sz w:val="24"/>
          <w:szCs w:val="24"/>
        </w:rPr>
        <w:t xml:space="preserve">);   </w:t>
      </w:r>
      <w:proofErr w:type="gramEnd"/>
      <w:r w:rsidRPr="005C0E3A">
        <w:rPr>
          <w:sz w:val="24"/>
          <w:szCs w:val="24"/>
        </w:rPr>
        <w:t>информационные процессы профессиональной деятельности; специфику деятельности клубных учреждений, музеев, СМИ …; - сущность и технологии проблемно- целевого анализа этно-культурной ситуации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 xml:space="preserve">Умеет: применять ИК технологии с учетом основных требований информационной безопасности; разработать организационно-управленческий проект и целевую программу сохранения и </w:t>
      </w:r>
      <w:proofErr w:type="gramStart"/>
      <w:r w:rsidRPr="005C0E3A">
        <w:rPr>
          <w:sz w:val="24"/>
          <w:szCs w:val="24"/>
        </w:rPr>
        <w:t>развития  НХК</w:t>
      </w:r>
      <w:proofErr w:type="gramEnd"/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 xml:space="preserve">Владеет: навыками применения </w:t>
      </w:r>
      <w:proofErr w:type="spellStart"/>
      <w:r w:rsidRPr="005C0E3A">
        <w:rPr>
          <w:sz w:val="24"/>
          <w:szCs w:val="24"/>
        </w:rPr>
        <w:t>ИКтехнологий</w:t>
      </w:r>
      <w:proofErr w:type="spellEnd"/>
      <w:r w:rsidRPr="005C0E3A">
        <w:rPr>
          <w:sz w:val="24"/>
          <w:szCs w:val="24"/>
        </w:rPr>
        <w:t xml:space="preserve">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деятельности; основными технологиями разработки организационно-управленческих проектов и целевых программ сохранения и развития НХК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 xml:space="preserve">Зачет: 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-«Отлично»</w:t>
      </w:r>
      <w:r w:rsidRPr="005C0E3A">
        <w:rPr>
          <w:sz w:val="24"/>
          <w:szCs w:val="24"/>
        </w:rPr>
        <w:tab/>
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</w:t>
      </w:r>
      <w:r w:rsidRPr="005C0E3A">
        <w:rPr>
          <w:sz w:val="24"/>
          <w:szCs w:val="24"/>
        </w:rPr>
        <w:lastRenderedPageBreak/>
        <w:t>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-«Хорошо»</w:t>
      </w:r>
      <w:r w:rsidRPr="005C0E3A">
        <w:rPr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-«Удовлетворительно»</w:t>
      </w:r>
      <w:r w:rsidRPr="005C0E3A">
        <w:rPr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030DD6" w:rsidRPr="005C0E3A" w:rsidRDefault="00030DD6" w:rsidP="00030DD6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>Незачет:</w:t>
      </w:r>
    </w:p>
    <w:p w:rsidR="00030DD6" w:rsidRDefault="00030DD6" w:rsidP="00030DD6">
      <w:pPr>
        <w:jc w:val="both"/>
        <w:rPr>
          <w:sz w:val="24"/>
          <w:szCs w:val="24"/>
        </w:rPr>
      </w:pPr>
      <w:r w:rsidRPr="005C0E3A">
        <w:rPr>
          <w:sz w:val="24"/>
          <w:szCs w:val="24"/>
        </w:rPr>
        <w:t>«Неудовлетворительно»</w:t>
      </w:r>
      <w:r w:rsidRPr="005C0E3A">
        <w:rPr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5C0E3A" w:rsidRDefault="005C0E3A" w:rsidP="00030DD6">
      <w:pPr>
        <w:jc w:val="both"/>
        <w:rPr>
          <w:sz w:val="24"/>
          <w:szCs w:val="24"/>
        </w:rPr>
      </w:pPr>
    </w:p>
    <w:p w:rsidR="005C0E3A" w:rsidRDefault="005C0E3A" w:rsidP="00030DD6">
      <w:pPr>
        <w:jc w:val="both"/>
        <w:rPr>
          <w:sz w:val="24"/>
          <w:szCs w:val="24"/>
        </w:rPr>
      </w:pPr>
    </w:p>
    <w:p w:rsidR="005C0E3A" w:rsidRPr="005C0E3A" w:rsidRDefault="005C0E3A" w:rsidP="005C0E3A">
      <w:pPr>
        <w:widowControl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autoSpaceDE/>
        <w:autoSpaceDN/>
        <w:adjustRightInd/>
        <w:spacing w:line="276" w:lineRule="auto"/>
        <w:jc w:val="both"/>
        <w:rPr>
          <w:sz w:val="24"/>
          <w:szCs w:val="24"/>
          <w:lang w:eastAsia="zh-CN"/>
        </w:rPr>
      </w:pPr>
      <w:r w:rsidRPr="005C0E3A">
        <w:rPr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C0E3A" w:rsidRPr="005C0E3A" w:rsidRDefault="005C0E3A" w:rsidP="005C0E3A">
      <w:pPr>
        <w:widowControl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autoSpaceDE/>
        <w:autoSpaceDN/>
        <w:adjustRightInd/>
        <w:spacing w:line="276" w:lineRule="auto"/>
        <w:jc w:val="both"/>
        <w:rPr>
          <w:sz w:val="24"/>
          <w:szCs w:val="24"/>
          <w:lang w:eastAsia="zh-CN"/>
        </w:rPr>
      </w:pPr>
      <w:r w:rsidRPr="005C0E3A">
        <w:rPr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5C0E3A" w:rsidRPr="005C0E3A" w:rsidRDefault="005C0E3A" w:rsidP="005C0E3A">
      <w:pPr>
        <w:widowControl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autoSpaceDE/>
        <w:autoSpaceDN/>
        <w:adjustRightInd/>
        <w:spacing w:line="276" w:lineRule="auto"/>
        <w:jc w:val="both"/>
        <w:rPr>
          <w:sz w:val="24"/>
          <w:szCs w:val="24"/>
          <w:lang w:eastAsia="zh-CN"/>
        </w:rPr>
      </w:pPr>
      <w:r w:rsidRPr="005C0E3A">
        <w:rPr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5C0E3A" w:rsidRPr="005C0E3A" w:rsidRDefault="005C0E3A" w:rsidP="005C0E3A">
      <w:pPr>
        <w:widowControl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autoSpaceDE/>
        <w:autoSpaceDN/>
        <w:adjustRightInd/>
        <w:spacing w:line="276" w:lineRule="auto"/>
        <w:jc w:val="both"/>
        <w:rPr>
          <w:sz w:val="24"/>
          <w:szCs w:val="24"/>
          <w:lang w:eastAsia="zh-CN"/>
        </w:rPr>
      </w:pPr>
      <w:r w:rsidRPr="005C0E3A">
        <w:rPr>
          <w:sz w:val="24"/>
          <w:szCs w:val="24"/>
          <w:lang w:eastAsia="zh-CN"/>
        </w:rPr>
        <w:t xml:space="preserve">Автор (ы): </w:t>
      </w:r>
      <w:bookmarkStart w:id="0" w:name="_GoBack"/>
      <w:bookmarkEnd w:id="0"/>
    </w:p>
    <w:sectPr w:rsidR="005C0E3A" w:rsidRPr="005C0E3A" w:rsidSect="00B265B9">
      <w:type w:val="continuous"/>
      <w:pgSz w:w="11909" w:h="16834"/>
      <w:pgMar w:top="1440" w:right="710" w:bottom="720" w:left="187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79B4"/>
    <w:multiLevelType w:val="hybridMultilevel"/>
    <w:tmpl w:val="908E0C34"/>
    <w:lvl w:ilvl="0" w:tplc="B7B4081C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532206"/>
    <w:multiLevelType w:val="hybridMultilevel"/>
    <w:tmpl w:val="0E5C4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9C4EA2"/>
    <w:multiLevelType w:val="hybridMultilevel"/>
    <w:tmpl w:val="8F9E0AE2"/>
    <w:lvl w:ilvl="0" w:tplc="0419000F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5" w15:restartNumberingAfterBreak="0">
    <w:nsid w:val="309E5AC5"/>
    <w:multiLevelType w:val="hybridMultilevel"/>
    <w:tmpl w:val="F1CEF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314976"/>
    <w:multiLevelType w:val="hybridMultilevel"/>
    <w:tmpl w:val="D8246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1E2"/>
    <w:multiLevelType w:val="multilevel"/>
    <w:tmpl w:val="81B8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392C8A"/>
    <w:multiLevelType w:val="hybridMultilevel"/>
    <w:tmpl w:val="A5808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925BD"/>
    <w:multiLevelType w:val="hybridMultilevel"/>
    <w:tmpl w:val="3B569A72"/>
    <w:lvl w:ilvl="0" w:tplc="17B25A6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EDD729F"/>
    <w:multiLevelType w:val="hybridMultilevel"/>
    <w:tmpl w:val="0E5C4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4A2BB3"/>
    <w:multiLevelType w:val="multilevel"/>
    <w:tmpl w:val="48E0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2"/>
  </w:num>
  <w:num w:numId="5">
    <w:abstractNumId w:val="7"/>
  </w:num>
  <w:num w:numId="6">
    <w:abstractNumId w:val="12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CF"/>
    <w:rsid w:val="00030DD6"/>
    <w:rsid w:val="00095A48"/>
    <w:rsid w:val="000A5BBF"/>
    <w:rsid w:val="001142FD"/>
    <w:rsid w:val="0014229C"/>
    <w:rsid w:val="001534F5"/>
    <w:rsid w:val="001A6D6E"/>
    <w:rsid w:val="001C4CB1"/>
    <w:rsid w:val="00244139"/>
    <w:rsid w:val="0025709F"/>
    <w:rsid w:val="002E76B6"/>
    <w:rsid w:val="00316EC6"/>
    <w:rsid w:val="00342413"/>
    <w:rsid w:val="00483526"/>
    <w:rsid w:val="00492B27"/>
    <w:rsid w:val="004C0528"/>
    <w:rsid w:val="005006B6"/>
    <w:rsid w:val="0050507A"/>
    <w:rsid w:val="005338D2"/>
    <w:rsid w:val="00550976"/>
    <w:rsid w:val="005529A1"/>
    <w:rsid w:val="00555840"/>
    <w:rsid w:val="005B044F"/>
    <w:rsid w:val="005C0E3A"/>
    <w:rsid w:val="005E4ECF"/>
    <w:rsid w:val="00633A35"/>
    <w:rsid w:val="00692C22"/>
    <w:rsid w:val="006B6649"/>
    <w:rsid w:val="006D7E8A"/>
    <w:rsid w:val="006E73E1"/>
    <w:rsid w:val="006F60E6"/>
    <w:rsid w:val="00751A51"/>
    <w:rsid w:val="0075442B"/>
    <w:rsid w:val="007C6D8A"/>
    <w:rsid w:val="00837D96"/>
    <w:rsid w:val="00890B3E"/>
    <w:rsid w:val="008A4ACF"/>
    <w:rsid w:val="008E06DC"/>
    <w:rsid w:val="00986BFD"/>
    <w:rsid w:val="009E3C98"/>
    <w:rsid w:val="00A120ED"/>
    <w:rsid w:val="00A263EA"/>
    <w:rsid w:val="00A37DF1"/>
    <w:rsid w:val="00A44D5E"/>
    <w:rsid w:val="00AE7F76"/>
    <w:rsid w:val="00B265B9"/>
    <w:rsid w:val="00B44F78"/>
    <w:rsid w:val="00BB6699"/>
    <w:rsid w:val="00C7098D"/>
    <w:rsid w:val="00C77741"/>
    <w:rsid w:val="00CA6AFA"/>
    <w:rsid w:val="00CE6D6A"/>
    <w:rsid w:val="00CF66A1"/>
    <w:rsid w:val="00D07BDF"/>
    <w:rsid w:val="00DC7C2D"/>
    <w:rsid w:val="00DD0332"/>
    <w:rsid w:val="00DD222E"/>
    <w:rsid w:val="00DE53FE"/>
    <w:rsid w:val="00E6053C"/>
    <w:rsid w:val="00E84557"/>
    <w:rsid w:val="00EC23BC"/>
    <w:rsid w:val="00F111CF"/>
    <w:rsid w:val="00F1349C"/>
    <w:rsid w:val="00F2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3A11821-74E2-47BB-B7B9-5598B95E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30D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29A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52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77741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A6AFA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A6A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E06DC"/>
    <w:pPr>
      <w:widowControl/>
      <w:tabs>
        <w:tab w:val="num" w:pos="360"/>
      </w:tabs>
      <w:autoSpaceDE/>
      <w:autoSpaceDN/>
      <w:adjustRightInd/>
      <w:jc w:val="center"/>
    </w:pPr>
    <w:rPr>
      <w:b/>
      <w:bCs/>
      <w:smallCaps/>
      <w:sz w:val="24"/>
      <w:szCs w:val="24"/>
      <w:lang w:val="x-none" w:eastAsia="x-none"/>
    </w:rPr>
  </w:style>
  <w:style w:type="character" w:customStyle="1" w:styleId="a6">
    <w:name w:val="Основной текст Знак"/>
    <w:link w:val="a5"/>
    <w:rsid w:val="008E06DC"/>
    <w:rPr>
      <w:b/>
      <w:bCs/>
      <w:smallCaps/>
      <w:sz w:val="24"/>
      <w:szCs w:val="24"/>
    </w:rPr>
  </w:style>
  <w:style w:type="paragraph" w:styleId="21">
    <w:name w:val="Body Text Indent 2"/>
    <w:basedOn w:val="a"/>
    <w:link w:val="22"/>
    <w:rsid w:val="008E06DC"/>
    <w:pPr>
      <w:widowControl/>
      <w:tabs>
        <w:tab w:val="num" w:pos="360"/>
      </w:tabs>
      <w:autoSpaceDE/>
      <w:autoSpaceDN/>
      <w:adjustRightInd/>
      <w:ind w:left="993"/>
    </w:pPr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8E06DC"/>
    <w:rPr>
      <w:sz w:val="24"/>
      <w:szCs w:val="24"/>
    </w:rPr>
  </w:style>
  <w:style w:type="paragraph" w:styleId="a7">
    <w:name w:val="Block Text"/>
    <w:basedOn w:val="a"/>
    <w:rsid w:val="008E06DC"/>
    <w:pPr>
      <w:widowControl/>
      <w:tabs>
        <w:tab w:val="num" w:pos="360"/>
      </w:tabs>
      <w:autoSpaceDE/>
      <w:autoSpaceDN/>
      <w:adjustRightInd/>
      <w:ind w:left="142" w:right="4819"/>
      <w:jc w:val="center"/>
    </w:pPr>
    <w:rPr>
      <w:sz w:val="24"/>
      <w:szCs w:val="24"/>
    </w:rPr>
  </w:style>
  <w:style w:type="paragraph" w:styleId="a8">
    <w:name w:val="footer"/>
    <w:basedOn w:val="a"/>
    <w:link w:val="a9"/>
    <w:rsid w:val="00B44F78"/>
    <w:pPr>
      <w:widowControl/>
      <w:tabs>
        <w:tab w:val="center" w:pos="4677"/>
        <w:tab w:val="right" w:pos="9355"/>
      </w:tabs>
      <w:autoSpaceDE/>
      <w:autoSpaceDN/>
      <w:adjustRightInd/>
    </w:pPr>
    <w:rPr>
      <w:lang w:val="en-US" w:eastAsia="x-none"/>
    </w:rPr>
  </w:style>
  <w:style w:type="character" w:customStyle="1" w:styleId="a9">
    <w:name w:val="Нижний колонтитул Знак"/>
    <w:link w:val="a8"/>
    <w:rsid w:val="00B44F78"/>
    <w:rPr>
      <w:lang w:val="en-US"/>
    </w:rPr>
  </w:style>
  <w:style w:type="paragraph" w:styleId="aa">
    <w:name w:val="Body Text Indent"/>
    <w:basedOn w:val="a"/>
    <w:link w:val="ab"/>
    <w:rsid w:val="00B44F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44F78"/>
  </w:style>
  <w:style w:type="character" w:customStyle="1" w:styleId="50">
    <w:name w:val="Заголовок 5 Знак"/>
    <w:link w:val="5"/>
    <w:rsid w:val="00C77741"/>
    <w:rPr>
      <w:b/>
      <w:bCs/>
      <w:i/>
      <w:iCs/>
      <w:sz w:val="26"/>
      <w:szCs w:val="26"/>
    </w:rPr>
  </w:style>
  <w:style w:type="paragraph" w:styleId="ac">
    <w:name w:val="Normal (Web)"/>
    <w:basedOn w:val="a"/>
    <w:uiPriority w:val="99"/>
    <w:unhideWhenUsed/>
    <w:rsid w:val="00633A35"/>
    <w:pPr>
      <w:widowControl/>
      <w:tabs>
        <w:tab w:val="num" w:pos="360"/>
      </w:tabs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link w:val="2"/>
    <w:semiHidden/>
    <w:rsid w:val="005529A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semiHidden/>
    <w:rsid w:val="005529A1"/>
    <w:rPr>
      <w:rFonts w:ascii="Calibri" w:eastAsia="Times New Roman" w:hAnsi="Calibri" w:cs="Times New Roman"/>
      <w:b/>
      <w:bCs/>
      <w:sz w:val="28"/>
      <w:szCs w:val="28"/>
    </w:rPr>
  </w:style>
  <w:style w:type="table" w:styleId="ad">
    <w:name w:val="Table Grid"/>
    <w:basedOn w:val="a1"/>
    <w:uiPriority w:val="59"/>
    <w:rsid w:val="007544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qFormat/>
    <w:rsid w:val="0075442B"/>
    <w:pPr>
      <w:widowControl/>
      <w:autoSpaceDE/>
      <w:autoSpaceDN/>
      <w:adjustRightInd/>
      <w:ind w:left="708"/>
    </w:pPr>
    <w:rPr>
      <w:sz w:val="24"/>
      <w:szCs w:val="24"/>
      <w:lang w:eastAsia="zh-CN"/>
    </w:rPr>
  </w:style>
  <w:style w:type="character" w:customStyle="1" w:styleId="10">
    <w:name w:val="Заголовок 1 Знак"/>
    <w:link w:val="1"/>
    <w:rsid w:val="00030DD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99"/>
    <w:qFormat/>
    <w:rsid w:val="00030DD6"/>
    <w:pPr>
      <w:keepNext w:val="0"/>
      <w:widowControl/>
      <w:autoSpaceDE/>
      <w:autoSpaceDN/>
      <w:adjustRightInd/>
      <w:spacing w:before="480" w:after="0"/>
      <w:contextualSpacing/>
      <w:jc w:val="center"/>
      <w:outlineLvl w:val="9"/>
    </w:pPr>
    <w:rPr>
      <w:rFonts w:ascii="Times New Roman" w:eastAsia="Calibri" w:hAnsi="Times New Roman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rsid w:val="00030DD6"/>
    <w:pPr>
      <w:widowControl/>
      <w:autoSpaceDE/>
      <w:autoSpaceDN/>
      <w:adjustRightInd/>
      <w:ind w:left="240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030DD6"/>
    <w:pPr>
      <w:widowControl/>
      <w:autoSpaceDE/>
      <w:autoSpaceDN/>
      <w:adjustRightInd/>
    </w:pPr>
    <w:rPr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30DD6"/>
    <w:pPr>
      <w:widowControl/>
      <w:autoSpaceDE/>
      <w:autoSpaceDN/>
      <w:adjustRightInd/>
      <w:ind w:left="480"/>
    </w:pPr>
    <w:rPr>
      <w:sz w:val="24"/>
      <w:szCs w:val="24"/>
    </w:rPr>
  </w:style>
  <w:style w:type="paragraph" w:customStyle="1" w:styleId="Default">
    <w:name w:val="Default"/>
    <w:rsid w:val="00030D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3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3E1C7-28D6-4D9B-8E61-AF526934A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МГУКИ</Company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severova</dc:creator>
  <cp:keywords/>
  <dc:description/>
  <cp:lastModifiedBy>Людмила Станиславовна Клюева</cp:lastModifiedBy>
  <cp:revision>4</cp:revision>
  <cp:lastPrinted>2015-11-09T10:54:00Z</cp:lastPrinted>
  <dcterms:created xsi:type="dcterms:W3CDTF">2022-02-15T08:03:00Z</dcterms:created>
  <dcterms:modified xsi:type="dcterms:W3CDTF">2022-08-30T07:43:00Z</dcterms:modified>
</cp:coreProperties>
</file>